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media/image6.jpeg" ContentType="image/jpeg"/>
  <Override PartName="/word/media/image5.jpeg" ContentType="image/jpeg"/>
  <Override PartName="/word/media/image4.jpeg" ContentType="image/jpeg"/>
  <Override PartName="/word/media/image3.jpeg" ContentType="image/jpeg"/>
  <Override PartName="/word/media/image2.png" ContentType="image/png"/>
  <Override PartName="/word/media/image1.png" ContentType="image/png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ackground w:color="FFFFFF"/>
  <w:body>
    <w:p>
      <w:pPr>
        <w:pStyle w:val="Normal"/>
        <w:spacing w:lineRule="auto" w:line="288" w:before="0" w:after="170"/>
        <w:rPr>
          <w:rFonts w:cs="Arial Narrow" w:ascii="Arial Narrow" w:hAnsi="Arial Narrow"/>
          <w:b w:val="false"/>
          <w:i w:val="false"/>
          <w:color w:val="4C4C4C"/>
          <w:sz w:val="32"/>
          <w:szCs w:val="32"/>
        </w:rPr>
      </w:pPr>
      <w:r>
        <w:rPr>
          <w:rFonts w:cs="Arial Narrow" w:ascii="Arial Narrow" w:hAnsi="Arial Narrow"/>
          <w:b w:val="false"/>
          <w:i w:val="false"/>
          <w:color w:val="4C4C4C"/>
          <w:sz w:val="32"/>
          <w:szCs w:val="32"/>
        </w:rPr>
        <w:t>10. Gehirngerecht arbeiten – vernetzt und ganzheitlich</w:t>
      </w:r>
    </w:p>
    <w:tbl>
      <w:tblPr>
        <w:jc w:val="left"/>
        <w:tblInd w:w="0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4075"/>
        <w:gridCol w:w="5327"/>
        <w:gridCol w:w="5174"/>
      </w:tblGrid>
      <w:tr>
        <w:trPr>
          <w:cantSplit w:val="false"/>
        </w:trPr>
        <w:tc>
          <w:tcPr>
            <w:tcW w:w="40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Vernetzt denken</w:t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0</wp:posOffset>
                  </wp:positionV>
                  <wp:extent cx="2404110" cy="1379220"/>
                  <wp:effectExtent l="0" t="0" r="0" b="0"/>
                  <wp:wrapNone/>
                  <wp:docPr id="0" name="Picture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110" cy="1379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Gehirnzellen sind in sich abgeschlossene Gebil</w:t>
              <w:softHyphen/>
              <w:t>de und stehen untereinander in Stoff- bzw. Energie</w:t>
              <w:softHyphen/>
              <w:t>wechsel. Von jeder Zelle aus verlaufen viele Nervenbahnen, so dass sich Gedan</w:t>
              <w:softHyphen/>
              <w:t xml:space="preserve">ken nicht hintereinander, sondern radial in einem </w:t>
              <w:br/>
              <w:t>Netz entfalten.</w:t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Reize von außen veranlassen die Gehirnzellen Botenstoffe auszustoßen. Deren Auftreffen auf andere Zellen ist wieder ein Reiz. Dabei vergeht eine gewisse Zeit, die bei Wieder</w:t>
              <w:softHyphen/>
              <w:t>holungen immer kürzer wird – die Nervenbahnen werden zu „Trampel</w:t>
              <w:softHyphen/>
              <w:t>pfaden“. Die sollten weit verzweigt sein, damit Gedanken</w:t>
              <w:br/>
            </w:r>
            <w:r>
              <w:rPr>
                <w:rFonts w:eastAsia="Akkurat-Light"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 xml:space="preserve">– </w:t>
            </w: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schnell vorankommen,</w:t>
              <w:br/>
            </w:r>
            <w:r>
              <w:rPr>
                <w:rFonts w:eastAsia="Akkurat-Light"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 xml:space="preserve">– </w:t>
            </w: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sich untereinander treffen und</w:t>
              <w:br/>
            </w:r>
            <w:r>
              <w:rPr>
                <w:rFonts w:eastAsia="Akkurat-Light"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 xml:space="preserve">– </w:t>
            </w: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bei „Bekanntem“ hängenbleiben.</w:t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Gedanken vervielfältigen sich nicht durch Ver-</w:t>
              <w:br/>
              <w:t>dopp</w:t>
              <w:softHyphen/>
              <w:t>lung, sondern in Variationen. Dadurch und durch die radiale Entfaltung werden neue Ver</w:t>
              <w:softHyphen/>
              <w:t xml:space="preserve">bindungen und damit Phantasie, Assoziieren </w:t>
              <w:br/>
              <w:t>und Einprägen möglich.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Berschrift2"/>
              <w:numPr>
                <w:ilvl w:val="1"/>
                <w:numId w:val="1"/>
              </w:numPr>
              <w:spacing w:lineRule="auto" w:line="288" w:before="0" w:after="113"/>
              <w:jc w:val="left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Ganzheitlich denken</w:t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Ganzheitliches Denken bedeutet ein Zusammenwirken vieler Sinne und Eingangskanäle. Einprägen, schnelles Erfassen oder gezieltes Zuhören werden dadurch gefördert.</w:t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Weiter ist das Gehirn nicht nur optisch geteilt, die Gehirn</w:t>
              <w:softHyphen/>
              <w:t>hälften funktionieren auch arbeitsteilig. Während die linke Hälfte mehr für das Logisch-Sprachliche zuständig ist, speichert die rechte vorrangig das Anschaulich-Emotio–nale. Vom Behalten her ist sie der linken überlegen. Die Leistung des Gehirns hängt auch davon ab, inwieweit beide Gehirnhälften gemeinsam angesprochen werden.</w:t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Z. B. sollten schwer einzuprägende Texte oder sonstige Infor</w:t>
              <w:softHyphen/>
              <w:t>mationen mit kleinen Zeichnungen oder inneren Vorstellungs</w:t>
              <w:softHyphen/>
              <w:t>bildern verbunden werden. Auf diese Weise gelangt der Lernstoff zuverlässiger ins Kurzzeitgedächtnis (Speicher-dauer ca. 20 bis 30 Minuten) und dann ins Lang-zeitgedächtnis. Auch aktivieren die Gehirnhälften sich gegenseitig. Zeichnen, Kritzeln oder Musik hören regen Erinnern oder Erfinden an.</w:t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  <w:drawing>
                <wp:anchor behindDoc="0" distT="0" distB="0" distL="0" distR="0" simplePos="0" locked="0" layoutInCell="1" allowOverlap="1" relativeHeight="1">
                  <wp:simplePos x="0" y="0"/>
                  <wp:positionH relativeFrom="column">
                    <wp:posOffset>916305</wp:posOffset>
                  </wp:positionH>
                  <wp:positionV relativeFrom="paragraph">
                    <wp:posOffset>-26670</wp:posOffset>
                  </wp:positionV>
                  <wp:extent cx="2407920" cy="2072640"/>
                  <wp:effectExtent l="0" t="0" r="0" b="0"/>
                  <wp:wrapNone/>
                  <wp:docPr id="1" name="Picture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2072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Normal"/>
              <w:spacing w:lineRule="auto" w:line="288" w:before="0" w:after="113"/>
              <w:jc w:val="left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rPr>
                <w:rFonts w:cs="Arial Narrow" w:ascii="Arial Narrow" w:hAnsi="Arial Narrow"/>
                <w:sz w:val="22"/>
                <w:szCs w:val="22"/>
              </w:rPr>
            </w:pPr>
            <w:r>
              <w:rPr>
                <w:rFonts w:cs="Arial Narrow" w:ascii="Arial Narrow" w:hAnsi="Arial Narrow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righ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Übertragen Sie die Begriffe aus der Wortwolke</w:t>
              <w:br/>
              <w:t>auf die richtigen Gehirnhälften!</w:t>
            </w:r>
          </w:p>
        </w:tc>
        <w:tc>
          <w:tcPr>
            <w:tcW w:w="5174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TabellenInhalt"/>
              <w:numPr>
                <w:ilvl w:val="0"/>
                <w:numId w:val="1"/>
              </w:numPr>
              <w:spacing w:lineRule="auto" w:line="288" w:before="0" w:after="113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  <w:t>Eingangskanäle und Aufmerksamkeit bzw. Erinnern</w:t>
            </w:r>
          </w:p>
          <w:tbl>
            <w:tblPr>
              <w:jc w:val="left"/>
              <w:tblInd w:w="0" w:type="dxa"/>
              <w:tblBorders>
                <w:top w:val="nil"/>
                <w:left w:val="single" w:sz="2" w:space="0" w:color="808080"/>
                <w:bottom w:val="single" w:sz="2" w:space="0" w:color="808080"/>
                <w:insideH w:val="single" w:sz="2" w:space="0" w:color="808080"/>
                <w:right w:val="nil"/>
                <w:insideV w:val="nil"/>
              </w:tblBorders>
              <w:tblCellMar>
                <w:top w:w="28" w:type="dxa"/>
                <w:left w:w="21" w:type="dxa"/>
                <w:bottom w:w="28" w:type="dxa"/>
                <w:right w:w="28" w:type="dxa"/>
              </w:tblCellMar>
            </w:tblPr>
            <w:tblGrid>
              <w:gridCol w:w="861"/>
              <w:gridCol w:w="861"/>
              <w:gridCol w:w="861"/>
              <w:gridCol w:w="861"/>
              <w:gridCol w:w="861"/>
              <w:gridCol w:w="861"/>
            </w:tblGrid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  <w:t>100 %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center"/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  <w:t>?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center"/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  <w:t>?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center"/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color w:val="999999"/>
                      <w:sz w:val="22"/>
                      <w:szCs w:val="22"/>
                    </w:rPr>
                    <w:t>?</w:t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  <w:t>50 %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pPr>
                  <w:r>
                    <w:rPr>
                      <w:rFonts w:eastAsia="Arial Unicode MS" w:cs="Arial Narrow" w:ascii="Arial Narrow" w:hAnsi="Arial Narrow"/>
                      <w:color w:val="00000A"/>
                      <w:sz w:val="22"/>
                      <w:szCs w:val="22"/>
                      <w:lang w:val="de-DE" w:eastAsia="zh-CN" w:bidi="hi-IN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  <w:t>Sehen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Hören</w:t>
                  </w:r>
                </w:p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und</w:t>
                  </w:r>
                </w:p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Sehen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Selber</w:t>
                  </w:r>
                </w:p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sprechen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Selber</w:t>
                  </w:r>
                </w:p>
                <w:p>
                  <w:pPr>
                    <w:pStyle w:val="TabellenInhalt"/>
                    <w:numPr>
                      <w:ilvl w:val="0"/>
                      <w:numId w:val="1"/>
                    </w:numPr>
                    <w:jc w:val="left"/>
                    <w:rPr>
                      <w:rFonts w:cs="Arial Narrow" w:ascii="Arial Narrow" w:hAnsi="Arial Narrow"/>
                    </w:rPr>
                  </w:pPr>
                  <w:r>
                    <w:rPr>
                      <w:rFonts w:cs="Arial Narrow" w:ascii="Arial Narrow" w:hAnsi="Arial Narrow"/>
                    </w:rPr>
                    <w:t>tun</w:t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vMerge w:val="restart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  <w:t>Hören</w:t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  <w:t>Lesen</w:t>
                  </w:r>
                </w:p>
              </w:tc>
              <w:tc>
                <w:tcPr>
                  <w:tcW w:w="861" w:type="dxa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E6E6E6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861" w:type="dxa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FFFFFF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5166" w:type="dxa"/>
                  <w:gridSpan w:val="6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lineRule="auto" w:line="288" w:before="0" w:after="113"/>
                    <w:jc w:val="left"/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r>
                </w:p>
                <w:p>
                  <w:pPr>
                    <w:pStyle w:val="TabellenInhalt"/>
                    <w:spacing w:lineRule="auto" w:line="288" w:before="0" w:after="113"/>
                    <w:jc w:val="left"/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r>
                </w:p>
                <w:p>
                  <w:pPr>
                    <w:pStyle w:val="TabellenInhalt"/>
                    <w:spacing w:lineRule="auto" w:line="288" w:before="0" w:after="113"/>
                    <w:jc w:val="left"/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r>
                </w:p>
                <w:p>
                  <w:pPr>
                    <w:pStyle w:val="TabellenInhalt"/>
                    <w:spacing w:lineRule="auto" w:line="288" w:before="0" w:after="113"/>
                    <w:jc w:val="left"/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r>
                </w:p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lineRule="auto" w:line="288" w:before="0" w:after="113"/>
                    <w:jc w:val="left"/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  <w:t>Gehirnhäften un</w:t>
                  </w: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  <w:t>d</w:t>
                    <w:drawing>
                      <wp:anchor behindDoc="0" distT="0" distB="0" distL="0" distR="0" simplePos="0" locked="0" layoutInCell="1" allowOverlap="1" relativeHeight="0">
                        <wp:simplePos x="0" y="0"/>
                        <wp:positionH relativeFrom="column">
                          <wp:posOffset>842010</wp:posOffset>
                        </wp:positionH>
                        <wp:positionV relativeFrom="paragraph">
                          <wp:posOffset>222250</wp:posOffset>
                        </wp:positionV>
                        <wp:extent cx="1502410" cy="1786255"/>
                        <wp:effectExtent l="0" t="0" r="0" b="0"/>
                        <wp:wrapNone/>
                        <wp:docPr id="2" name="Picture" descr="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" descr="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2410" cy="1786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rFonts w:cs="Arial Narrow" w:ascii="Arial Narrow" w:hAnsi="Arial Narrow"/>
                      <w:b w:val="false"/>
                      <w:i w:val="false"/>
                      <w:color w:val="333333"/>
                      <w:sz w:val="22"/>
                      <w:szCs w:val="22"/>
                    </w:rPr>
                    <w:t xml:space="preserve"> ihre Arbeitsteilung</w:t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restart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  <w:tr>
              <w:trPr>
                <w:cantSplit w:val="false"/>
              </w:trPr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/>
                  </w:pPr>
                  <w:r>
                    <w:rPr/>
                  </w:r>
                </w:p>
              </w:tc>
              <w:tc>
                <w:tcPr>
                  <w:tcW w:w="1722" w:type="dxa"/>
                  <w:gridSpan w:val="2"/>
                  <w:vMerge w:val="continue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nil"/>
                    <w:insideV w:val="nil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  <w:tc>
                <w:tcPr>
                  <w:tcW w:w="1722" w:type="dxa"/>
                  <w:gridSpan w:val="2"/>
                  <w:tcBorders>
                    <w:top w:val="nil"/>
                    <w:left w:val="single" w:sz="2" w:space="0" w:color="808080"/>
                    <w:bottom w:val="single" w:sz="2" w:space="0" w:color="808080"/>
                    <w:insideH w:val="single" w:sz="2" w:space="0" w:color="808080"/>
                    <w:right w:val="single" w:sz="2" w:space="0" w:color="808080"/>
                    <w:insideV w:val="single" w:sz="2" w:space="0" w:color="808080"/>
                  </w:tcBorders>
                  <w:shd w:fill="auto" w:val="clear"/>
                  <w:tcMar>
                    <w:left w:w="21" w:type="dxa"/>
                  </w:tcMar>
                </w:tcPr>
                <w:p>
                  <w:pPr>
                    <w:pStyle w:val="TabellenInhalt"/>
                    <w:numPr>
                      <w:ilvl w:val="0"/>
                      <w:numId w:val="1"/>
                    </w:numPr>
                    <w:spacing w:before="0" w:after="113"/>
                    <w:jc w:val="left"/>
                    <w:rPr>
                      <w:rFonts w:cs="Arial Narrow" w:ascii="Arial Narrow" w:hAnsi="Arial Narrow"/>
                      <w:sz w:val="22"/>
                      <w:szCs w:val="22"/>
                    </w:rPr>
                  </w:pPr>
                  <w:r>
                    <w:rPr>
                      <w:rFonts w:cs="Arial Narrow" w:ascii="Arial Narrow" w:hAnsi="Arial Narrow"/>
                      <w:sz w:val="22"/>
                      <w:szCs w:val="22"/>
                    </w:rPr>
                  </w:r>
                </w:p>
              </w:tc>
            </w:tr>
          </w:tbl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b w:val="false"/>
                <w:i w:val="false"/>
                <w:color w:val="333333"/>
                <w:sz w:val="22"/>
                <w:szCs w:val="22"/>
              </w:rPr>
            </w:r>
          </w:p>
        </w:tc>
      </w:tr>
    </w:tbl>
    <w:p>
      <w:pPr>
        <w:pStyle w:val="TabellenInhalt"/>
        <w:spacing w:lineRule="auto" w:line="288" w:before="0" w:after="170"/>
        <w:rPr>
          <w:rFonts w:cs="Arial Narrow" w:ascii="Arial Narrow" w:hAnsi="Arial Narrow"/>
          <w:b w:val="false"/>
          <w:i w:val="false"/>
          <w:color w:val="333333"/>
          <w:sz w:val="22"/>
          <w:szCs w:val="22"/>
        </w:rPr>
      </w:pPr>
      <w:r>
        <w:rPr>
          <w:rFonts w:cs="Arial Narrow" w:ascii="Arial Narrow" w:hAnsi="Arial Narrow"/>
          <w:b w:val="false"/>
          <w:i w:val="false"/>
          <w:color w:val="333333"/>
          <w:sz w:val="22"/>
          <w:szCs w:val="22"/>
        </w:rPr>
      </w:r>
    </w:p>
    <w:tbl>
      <w:tblPr>
        <w:jc w:val="left"/>
        <w:tblInd w:w="0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170" w:type="dxa"/>
        </w:tblCellMar>
      </w:tblPr>
      <w:tblGrid>
        <w:gridCol w:w="4754"/>
        <w:gridCol w:w="2210"/>
        <w:gridCol w:w="7603"/>
      </w:tblGrid>
      <w:tr>
        <w:trPr>
          <w:cantSplit w:val="false"/>
        </w:trPr>
        <w:tc>
          <w:tcPr>
            <w:tcW w:w="4754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TabellenInhalt"/>
              <w:numPr>
                <w:ilvl w:val="0"/>
                <w:numId w:val="1"/>
              </w:numPr>
              <w:spacing w:before="0" w:after="113"/>
              <w:rPr>
                <w:rFonts w:cs="Arial Narrow" w:ascii="Arial Narrow" w:hAnsi="Arial Narrow"/>
                <w:color w:val="333333"/>
                <w:sz w:val="32"/>
                <w:szCs w:val="32"/>
              </w:rPr>
            </w:pPr>
            <w:r>
              <w:rPr>
                <w:rFonts w:cs="Arial Narrow" w:ascii="Arial Narrow" w:hAnsi="Arial Narrow"/>
                <w:color w:val="333333"/>
                <w:sz w:val="32"/>
                <w:szCs w:val="32"/>
              </w:rPr>
              <w:t>Visualisieren</w:t>
            </w:r>
          </w:p>
          <w:p>
            <w:pPr>
              <w:pStyle w:val="TabellenInhalt"/>
              <w:numPr>
                <w:ilvl w:val="0"/>
                <w:numId w:val="1"/>
              </w:numPr>
              <w:spacing w:before="0" w:after="113"/>
              <w:rPr>
                <w:rFonts w:cs="Arial Narrow" w:ascii="Arial Narrow" w:hAnsi="Arial Narrow"/>
                <w:color w:val="333333"/>
              </w:rPr>
            </w:pPr>
            <w:r>
              <w:rPr>
                <w:rFonts w:cs="Arial Narrow" w:ascii="Arial Narrow" w:hAnsi="Arial Narrow"/>
                <w:color w:val="333333"/>
              </w:rPr>
              <w:t>ist eine wichtige Konsequenz aus obigen Einsichten – sowohl beim Explorieren als auch beim Struktu</w:t>
              <w:softHyphen/>
              <w:t>rieren und gerade beim Präsen</w:t>
              <w:softHyphen/>
              <w:t>tieren. Visualisieren heißt Gedanken, Daten, Tatsachen, Zusammen</w:t>
              <w:softHyphen/>
              <w:t>hänge usw. bildlich zu veranschaulichen.</w:t>
            </w:r>
          </w:p>
          <w:p>
            <w:pPr>
              <w:pStyle w:val="TabellenInhalt"/>
              <w:numPr>
                <w:ilvl w:val="0"/>
                <w:numId w:val="1"/>
              </w:numPr>
              <w:spacing w:before="0" w:after="113"/>
              <w:rPr>
                <w:rFonts w:cs="Arial Narrow" w:ascii="Arial Narrow" w:hAnsi="Arial Narrow"/>
                <w:color w:val="333333"/>
              </w:rPr>
            </w:pPr>
            <w:r>
              <w:rPr>
                <w:rFonts w:cs="Arial Narrow" w:ascii="Arial Narrow" w:hAnsi="Arial Narrow"/>
                <w:color w:val="333333"/>
              </w:rPr>
              <w:t>Im engeren Sinne ist Visualisieren nicht einfaches Bebildern. Neben Worten werden Symbole, Pfeile, Felder o.ä. verwendet, um Erklärungen, das Ent</w:t>
              <w:softHyphen/>
              <w:t xml:space="preserve">wickeln von Gedanken oder das Mitschreiben vorteilhafter und schneller zu bewerkstelligen. </w:t>
              <w:br/>
              <w:t>So wie viele mit der Zeit eine Handschrift ausbil</w:t>
              <w:softHyphen/>
              <w:t>den, werden sie in ihren Visualisier</w:t>
              <w:softHyphen/>
              <w:t>ungen eigene Formen und Strukturen entwickeln.</w:t>
            </w:r>
          </w:p>
          <w:p>
            <w:pPr>
              <w:pStyle w:val="TabellenInhalt"/>
              <w:spacing w:before="0" w:after="113"/>
              <w:rPr/>
            </w:pPr>
            <w:r>
              <w:rPr/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53340</wp:posOffset>
                  </wp:positionV>
                  <wp:extent cx="3178175" cy="4142740"/>
                  <wp:effectExtent l="0" t="0" r="0" b="0"/>
                  <wp:wrapNone/>
                  <wp:docPr id="3" name="Picture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175" cy="4142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TabellenInhalt"/>
              <w:spacing w:before="0" w:after="113"/>
              <w:rPr/>
            </w:pPr>
            <w:r>
              <w:rPr/>
            </w:r>
          </w:p>
        </w:tc>
        <w:tc>
          <w:tcPr>
            <w:tcW w:w="2210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TabellenInhalt"/>
              <w:spacing w:lineRule="auto" w:line="288" w:before="0" w:after="113"/>
              <w:jc w:val="righ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 xml:space="preserve">Tragen Sie rechts in </w:t>
              <w:br/>
              <w:t>das Venn-Diagramm ein!</w:t>
            </w:r>
          </w:p>
          <w:p>
            <w:pPr>
              <w:pStyle w:val="TabellenInhalt"/>
              <w:spacing w:lineRule="auto" w:line="288" w:before="0" w:after="113"/>
              <w:jc w:val="righ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t>SFArbeit</w:t>
              <w:br/>
              <w:t>Gespräch</w:t>
              <w:br/>
              <w:t>Zeichnung</w:t>
              <w:br/>
              <w:t>Niederschrift</w:t>
              <w:br/>
              <w:t>Modell</w:t>
              <w:br/>
              <w:t>Diagramm</w:t>
              <w:br/>
              <w:t>Foto</w:t>
              <w:br/>
              <w:t>Artikel</w:t>
              <w:br/>
              <w:t>Video</w:t>
              <w:br/>
              <w:t>Power Point</w:t>
              <w:br/>
              <w:t>Vortrag</w:t>
              <w:br/>
              <w:t>Ausstellung</w:t>
              <w:br/>
              <w:t>Audiodatei</w:t>
              <w:br/>
              <w:t>Poster</w:t>
              <w:br/>
              <w:t>Multimedia</w:t>
              <w:br/>
              <w:t>Lückentext</w:t>
              <w:br/>
              <w:t>Tafelbild</w:t>
              <w:br/>
              <w:t>Flipchart</w:t>
              <w:br/>
              <w:t>…</w:t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posOffset>454025</wp:posOffset>
                  </wp:positionH>
                  <wp:positionV relativeFrom="paragraph">
                    <wp:posOffset>-5080</wp:posOffset>
                  </wp:positionV>
                  <wp:extent cx="2139950" cy="2070100"/>
                  <wp:effectExtent l="0" t="0" r="0" b="0"/>
                  <wp:wrapNone/>
                  <wp:docPr id="4" name="Picture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950" cy="207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  <w:p>
            <w:pPr>
              <w:pStyle w:val="TabellenInhalt"/>
              <w:spacing w:lineRule="auto" w:line="288" w:before="0" w:after="113"/>
              <w:jc w:val="right"/>
              <w:rPr/>
            </w:pPr>
            <w:r>
              <w:rPr/>
            </w:r>
          </w:p>
        </w:tc>
        <w:tc>
          <w:tcPr>
            <w:tcW w:w="7603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FFFFFF" w:val="clear"/>
          </w:tcPr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-66675</wp:posOffset>
                  </wp:positionV>
                  <wp:extent cx="4797425" cy="3458210"/>
                  <wp:effectExtent l="0" t="0" r="0" b="0"/>
                  <wp:wrapNone/>
                  <wp:docPr id="5" name="Picture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425" cy="3458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  <w:p>
            <w:pPr>
              <w:pStyle w:val="TabellenInhalt"/>
              <w:spacing w:lineRule="auto" w:line="288" w:before="0" w:after="113"/>
              <w:jc w:val="left"/>
              <w:rPr>
                <w:rFonts w:cs="Arial Narrow" w:ascii="Arial Narrow" w:hAnsi="Arial Narrow"/>
                <w:color w:val="333333"/>
                <w:sz w:val="22"/>
                <w:szCs w:val="22"/>
              </w:rPr>
            </w:pPr>
            <w:r>
              <w:rPr>
                <w:rFonts w:cs="Arial Narrow" w:ascii="Arial Narrow" w:hAnsi="Arial Narrow"/>
                <w:color w:val="333333"/>
                <w:sz w:val="22"/>
                <w:szCs w:val="22"/>
              </w:rPr>
            </w:r>
          </w:p>
        </w:tc>
      </w:tr>
    </w:tbl>
    <w:p>
      <w:pPr>
        <w:pStyle w:val="TabellenInhalt"/>
        <w:spacing w:lineRule="auto" w:line="288" w:before="0" w:after="170"/>
        <w:rPr/>
      </w:pPr>
      <w:r>
        <w:rPr/>
      </w:r>
    </w:p>
    <w:sectPr>
      <w:type w:val="nextPage"/>
      <w:pgSz w:orient="landscape" w:w="16838" w:h="11906"/>
      <w:pgMar w:left="1134" w:right="1134" w:header="0" w:top="567" w:footer="0" w:bottom="567" w:gutter="0"/>
      <w:pgNumType w:fmt="decimal"/>
      <w:formProt w:val="false"/>
      <w:textDirection w:val="lrTb"/>
      <w:docGrid w:type="default" w:linePitch="36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kkurat-Light">
    <w:charset w:val="01"/>
    <w:family w:val="auto"/>
    <w:pitch w:val="default"/>
  </w:font>
  <w:font w:name="Arial Narrow">
    <w:charset w:val="01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none"/>
      <w:suff w:val="nothing"/>
      <w:lvlText w:val=""/>
      <w:lvlJc w:val="left"/>
      <w:pPr>
        <w:ind w:left="432" w:hanging="432"/>
      </w:pPr>
    </w:lvl>
    <w:lvl w:ilvl="1">
      <w:start w:val="1"/>
      <w:numFmt w:val="none"/>
      <w:suff w:val="nothing"/>
      <w:lvlText w:val=""/>
      <w:lvlJc w:val="left"/>
      <w:pPr>
        <w:ind w:left="576" w:hanging="576"/>
      </w:pPr>
    </w:lvl>
    <w:lvl w:ilvl="2">
      <w:start w:val="1"/>
      <w:numFmt w:val="none"/>
      <w:suff w:val="nothing"/>
      <w:lvlText w:val=""/>
      <w:lvlJc w:val="left"/>
      <w:pPr>
        <w:ind w:left="720" w:hanging="720"/>
      </w:pPr>
    </w:lvl>
    <w:lvl w:ilvl="3">
      <w:start w:val="1"/>
      <w:numFmt w:val="none"/>
      <w:suff w:val="nothing"/>
      <w:lvlText w:val=""/>
      <w:lvlJc w:val="left"/>
      <w:pPr>
        <w:ind w:left="864" w:hanging="864"/>
      </w:pPr>
    </w:lvl>
    <w:lvl w:ilvl="4">
      <w:start w:val="1"/>
      <w:numFmt w:val="none"/>
      <w:suff w:val="nothing"/>
      <w:lvlText w:val=""/>
      <w:lvlJc w:val="left"/>
      <w:pPr>
        <w:ind w:left="1008" w:hanging="1008"/>
      </w:pPr>
    </w:lvl>
    <w:lvl w:ilvl="5">
      <w:start w:val="1"/>
      <w:numFmt w:val="none"/>
      <w:suff w:val="nothing"/>
      <w:lvlText w:val=""/>
      <w:lvlJc w:val="left"/>
      <w:pPr>
        <w:ind w:left="1152" w:hanging="1152"/>
      </w:pPr>
    </w:lvl>
    <w:lvl w:ilvl="6">
      <w:start w:val="1"/>
      <w:numFmt w:val="none"/>
      <w:suff w:val="nothing"/>
      <w:lvlText w:val=""/>
      <w:lvlJc w:val="left"/>
      <w:pPr>
        <w:ind w:left="1296" w:hanging="1296"/>
      </w:pPr>
    </w:lvl>
    <w:lvl w:ilvl="7">
      <w:start w:val="1"/>
      <w:numFmt w:val="none"/>
      <w:suff w:val="nothing"/>
      <w:lvlText w:val=""/>
      <w:lvlJc w:val="left"/>
      <w:pPr>
        <w:ind w:left="1440" w:hanging="1440"/>
      </w:pPr>
    </w:lvl>
    <w:lvl w:ilvl="8">
      <w:start w:val="1"/>
      <w:numFmt w:val="none"/>
      <w:suff w:val="nothing"/>
      <w:lvlText w:val=""/>
      <w:lvlJc w:val="left"/>
      <w:pPr>
        <w:ind w:left="1584" w:hanging="1584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40"/>
  <w:displayBackgroundShape/>
  <w:defaultTabStop w:val="709"/>
</w:settings>
</file>

<file path=word/styles.xml><?xml version="1.0" encoding="utf-8"?>
<w:styles xmlns:w="http://schemas.openxmlformats.org/wordprocessingml/2006/main">
  <w:docDefaults>
    <w:rPrDefault>
      <w:rPr>
        <w:rFonts w:ascii="Akkurat-Light" w:hAnsi="Akkurat-Light" w:eastAsia="Arial Unicode MS" w:cs="Lucida Sans"/>
        <w:sz w:val="22"/>
        <w:szCs w:val="24"/>
        <w:lang w:val="de-DE" w:eastAsia="zh-CN" w:bidi="hi-IN"/>
      </w:rPr>
    </w:rPrDefault>
    <w:pPrDefault>
      <w:pPr/>
    </w:pPrDefault>
  </w:docDefaults>
  <w:style w:type="paragraph" w:styleId="Normal">
    <w:name w:val="Normal"/>
    <w:pPr>
      <w:widowControl w:val="false"/>
      <w:suppressAutoHyphens w:val="true"/>
      <w:bidi w:val="0"/>
      <w:jc w:val="left"/>
    </w:pPr>
    <w:rPr>
      <w:rFonts w:ascii="Akkurat-Light" w:hAnsi="Akkurat-Light" w:eastAsia="Arial Unicode MS" w:cs="Lucida Sans"/>
      <w:color w:val="00000A"/>
      <w:sz w:val="22"/>
      <w:szCs w:val="24"/>
      <w:lang w:val="de-DE" w:eastAsia="zh-CN" w:bidi="hi-IN"/>
    </w:rPr>
  </w:style>
  <w:style w:type="paragraph" w:styleId="Berschrift2">
    <w:name w:val="Überschrift 2"/>
    <w:basedOn w:val="Normal"/>
    <w:next w:val="Normal"/>
    <w:pPr>
      <w:keepNext/>
      <w:jc w:val="center"/>
      <w:outlineLvl w:val="1"/>
    </w:pPr>
    <w:rPr>
      <w:b/>
      <w:sz w:val="36"/>
    </w:rPr>
  </w:style>
  <w:style w:type="character" w:styleId="WW8Num1z0">
    <w:name w:val="WW8Num1z0"/>
    <w:rPr/>
  </w:style>
  <w:style w:type="character" w:styleId="WW8Num1z1">
    <w:name w:val="WW8Num1z1"/>
    <w:rPr/>
  </w:style>
  <w:style w:type="character" w:styleId="WW8Num1z2">
    <w:name w:val="WW8Num1z2"/>
    <w:rPr/>
  </w:style>
  <w:style w:type="character" w:styleId="WW8Num1z3">
    <w:name w:val="WW8Num1z3"/>
    <w:rPr/>
  </w:style>
  <w:style w:type="character" w:styleId="WW8Num1z4">
    <w:name w:val="WW8Num1z4"/>
    <w:rPr/>
  </w:style>
  <w:style w:type="character" w:styleId="WW8Num1z5">
    <w:name w:val="WW8Num1z5"/>
    <w:rPr/>
  </w:style>
  <w:style w:type="character" w:styleId="WW8Num1z6">
    <w:name w:val="WW8Num1z6"/>
    <w:rPr/>
  </w:style>
  <w:style w:type="character" w:styleId="WW8Num1z7">
    <w:name w:val="WW8Num1z7"/>
    <w:rPr/>
  </w:style>
  <w:style w:type="character" w:styleId="WW8Num1z8">
    <w:name w:val="WW8Num1z8"/>
    <w:rPr/>
  </w:style>
  <w:style w:type="character" w:styleId="WW8Num2z0">
    <w:name w:val="WW8Num2z0"/>
    <w:rPr/>
  </w:style>
  <w:style w:type="character" w:styleId="WW8Num2z1">
    <w:name w:val="WW8Num2z1"/>
    <w:rPr/>
  </w:style>
  <w:style w:type="character" w:styleId="WW8Num2z2">
    <w:name w:val="WW8Num2z2"/>
    <w:rPr/>
  </w:style>
  <w:style w:type="character" w:styleId="WW8Num2z3">
    <w:name w:val="WW8Num2z3"/>
    <w:rPr/>
  </w:style>
  <w:style w:type="character" w:styleId="WW8Num2z4">
    <w:name w:val="WW8Num2z4"/>
    <w:rPr/>
  </w:style>
  <w:style w:type="character" w:styleId="WW8Num2z5">
    <w:name w:val="WW8Num2z5"/>
    <w:rPr/>
  </w:style>
  <w:style w:type="character" w:styleId="WW8Num2z6">
    <w:name w:val="WW8Num2z6"/>
    <w:rPr/>
  </w:style>
  <w:style w:type="character" w:styleId="WW8Num2z7">
    <w:name w:val="WW8Num2z7"/>
    <w:rPr/>
  </w:style>
  <w:style w:type="character" w:styleId="WW8Num2z8">
    <w:name w:val="WW8Num2z8"/>
    <w:rPr/>
  </w:style>
  <w:style w:type="character" w:styleId="Internetlink">
    <w:name w:val="Internetlink"/>
    <w:rPr>
      <w:color w:val="000080"/>
      <w:u w:val="single"/>
      <w:lang w:val="zxx" w:eastAsia="zxx" w:bidi="zxx"/>
    </w:rPr>
  </w:style>
  <w:style w:type="character" w:styleId="BesuchterInternetlink">
    <w:name w:val="Besuchter Internetlink"/>
    <w:rPr>
      <w:color w:val="800000"/>
      <w:u w:val="single"/>
      <w:lang w:val="zxx" w:eastAsia="zxx" w:bidi="zxx"/>
    </w:rPr>
  </w:style>
  <w:style w:type="paragraph" w:styleId="Berschrift">
    <w:name w:val="Überschrift"/>
    <w:basedOn w:val="Normal"/>
    <w:next w:val="Textkrper"/>
    <w:pPr>
      <w:keepNext/>
      <w:spacing w:before="240" w:after="120"/>
    </w:pPr>
    <w:rPr>
      <w:rFonts w:ascii="Akkurat-Light" w:hAnsi="Akkurat-Light" w:eastAsia="Arial Unicode MS" w:cs="Lucida Sans"/>
      <w:sz w:val="22"/>
      <w:szCs w:val="28"/>
    </w:rPr>
  </w:style>
  <w:style w:type="paragraph" w:styleId="Textkrper">
    <w:name w:val="Textkörper"/>
    <w:basedOn w:val="Normal"/>
    <w:pPr>
      <w:spacing w:lineRule="auto" w:line="288" w:before="0" w:after="140"/>
    </w:pPr>
    <w:rPr/>
  </w:style>
  <w:style w:type="paragraph" w:styleId="Liste">
    <w:name w:val="Liste"/>
    <w:basedOn w:val="Textkrper"/>
    <w:pPr/>
    <w:rPr>
      <w:rFonts w:ascii="Akkurat-Light" w:hAnsi="Akkurat-Light" w:cs="Lucida Sans"/>
    </w:rPr>
  </w:style>
  <w:style w:type="paragraph" w:styleId="Beschriftung">
    <w:name w:val="Beschriftung"/>
    <w:basedOn w:val="Normal"/>
    <w:pPr>
      <w:suppressLineNumbers/>
      <w:spacing w:before="120" w:after="120"/>
    </w:pPr>
    <w:rPr>
      <w:rFonts w:ascii="Akkurat-Light" w:hAnsi="Akkurat-Light" w:cs="Lucida Sans"/>
      <w:i/>
      <w:iCs/>
      <w:sz w:val="22"/>
      <w:szCs w:val="24"/>
    </w:rPr>
  </w:style>
  <w:style w:type="paragraph" w:styleId="Verzeichnis">
    <w:name w:val="Verzeichnis"/>
    <w:basedOn w:val="Normal"/>
    <w:pPr>
      <w:suppressLineNumbers/>
    </w:pPr>
    <w:rPr>
      <w:rFonts w:ascii="Akkurat-Light" w:hAnsi="Akkurat-Light" w:cs="Lucida Sans"/>
    </w:rPr>
  </w:style>
  <w:style w:type="paragraph" w:styleId="TabellenInhalt">
    <w:name w:val="Tabellen Inhalt"/>
    <w:basedOn w:val="Normal"/>
    <w:pPr>
      <w:suppressLineNumbers/>
    </w:pPr>
    <w:rPr/>
  </w:style>
  <w:style w:type="paragraph" w:styleId="TextkrperEinrckung">
    <w:name w:val="Textkörper Einrückung"/>
    <w:basedOn w:val="Normal"/>
    <w:pPr>
      <w:jc w:val="both"/>
    </w:pPr>
    <w:rPr>
      <w:rFonts w:ascii="Arial Narrow" w:hAnsi="Arial Narrow" w:cs="Arial Narrow"/>
      <w:sz w:val="22"/>
    </w:rPr>
  </w:style>
  <w:style w:type="paragraph" w:styleId="Tabellenberschrift">
    <w:name w:val="Tabellen Überschrift"/>
    <w:basedOn w:val="TabellenInhalt"/>
    <w:pPr>
      <w:suppressLineNumbers/>
      <w:jc w:val="center"/>
    </w:pPr>
    <w:rPr>
      <w:b/>
      <w:bCs/>
    </w:rPr>
  </w:style>
  <w:style w:type="paragraph" w:styleId="Listeninhalt">
    <w:name w:val="Listeninhalt"/>
    <w:basedOn w:val="Normal"/>
    <w:pPr>
      <w:ind w:left="567" w:right="0" w:hanging="0"/>
    </w:pPr>
    <w:rPr/>
  </w:style>
  <w:style w:type="numbering" w:styleId="WW8Num1">
    <w:name w:val="WW8Num1"/>
  </w:style>
  <w:style w:type="numbering" w:styleId="WW8Num2">
    <w:name w:val="WW8Num2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988304</TotalTim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2017-03-01T08:21:33Z</dcterms:created>
  <dc:language>de-DE</dc:language>
  <cp:lastPrinted>2017-03-01T11:08:00Z</cp:lastPrinted>
  <cp:revision>0</cp:revision>
</cp:coreProperties>
</file>